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FD0549">
        <w:rPr>
          <w:rFonts w:ascii="Arial Narrow" w:hAnsi="Arial Narrow" w:cs="Calibri"/>
        </w:rPr>
        <w:t>„</w:t>
      </w:r>
      <w:r w:rsidR="00162FCE">
        <w:rPr>
          <w:rFonts w:ascii="Arial Narrow" w:hAnsi="Arial Narrow"/>
          <w:b/>
        </w:rPr>
        <w:t>Oprava osvětlení v areálu Psychiatrické nemocn</w:t>
      </w:r>
      <w:r w:rsidR="00162FCE">
        <w:rPr>
          <w:rFonts w:ascii="Arial Narrow" w:hAnsi="Arial Narrow"/>
          <w:b/>
        </w:rPr>
        <w:t>ice Horní Beřkovice – II. etapa</w:t>
      </w:r>
      <w:bookmarkStart w:id="0" w:name="_GoBack"/>
      <w:bookmarkEnd w:id="0"/>
      <w:r w:rsidR="00FD0549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C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62FCE"/>
    <w:rsid w:val="001D22D2"/>
    <w:rsid w:val="00215283"/>
    <w:rsid w:val="003B4FD2"/>
    <w:rsid w:val="003F32C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D0549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F03-52A2-49C2-A9AF-8B8BD71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2021-09-06T07:53:00Z</dcterms:created>
  <dcterms:modified xsi:type="dcterms:W3CDTF">2022-03-16T12:24:00Z</dcterms:modified>
</cp:coreProperties>
</file>